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1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4415"/>
        <w:gridCol w:w="4675.000000000001"/>
        <w:gridCol w:w="795"/>
        <w:gridCol w:w="1080"/>
        <w:gridCol w:w="5715"/>
        <w:gridCol w:w="3855"/>
        <w:tblGridChange w:id="0">
          <w:tblGrid>
            <w:gridCol w:w="1095"/>
            <w:gridCol w:w="4415"/>
            <w:gridCol w:w="4675.000000000001"/>
            <w:gridCol w:w="795"/>
            <w:gridCol w:w="1080"/>
            <w:gridCol w:w="5715"/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32b5e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32b5e"/>
                <w:sz w:val="24"/>
                <w:szCs w:val="24"/>
                <w:rtl w:val="0"/>
              </w:rPr>
              <w:t xml:space="preserve">Description/Notes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32b5e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32b5e"/>
                <w:sz w:val="24"/>
                <w:szCs w:val="24"/>
                <w:rtl w:val="0"/>
              </w:rPr>
              <w:t xml:space="preserve">Description/Notes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132b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132b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Administration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132b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Training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Quick, immediate tenant onboarding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Compliance training content</w:t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Depending on the customers you serve: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5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 GDPR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5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 HIPAA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5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 PCI DSS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SSO (Single Sign-On) for MSPs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Multi-tenancy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Easily switch between tenants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Bulk apply settings across tenants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Co-Management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Ability to have multiple admins from the MSP and the tenant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Robust Content Library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9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color w:val="132b5e"/>
                <w:rtl w:val="0"/>
              </w:rPr>
              <w:t xml:space="preserve">Short, digestible training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9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color w:val="132b5e"/>
                <w:rtl w:val="0"/>
              </w:rPr>
              <w:t xml:space="preserve">Frequently updated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9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color w:val="132b5e"/>
                <w:rtl w:val="0"/>
              </w:rPr>
              <w:t xml:space="preserve">Multiple formats and topics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Bulk User Management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Automatically add and update users via Microsoft Azure or Google Sync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Gamification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32b5e"/>
                <w:u w:val="non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Leaderboard, scores, and/or badges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PSA Integration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Free NFR Licenses for internal MSP team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Open API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Immediate phishing simulation feedback for end-users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One-click Allowlisting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132b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Security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Customizable welcome emails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Report Phishing Button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White Labeling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SOC 2 Certification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Automated training campaigns</w:t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Adjust frequency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Pre-built training tracks based on tenant criteria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MFA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No sign-on for end-users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Training customization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132b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color w:val="132b5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Automated reporting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Choose frequency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Send to any desired stakeholders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1:1 Support</w:t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7"/>
              </w:numPr>
              <w:spacing w:after="0" w:before="0"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Onboarding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7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HelpDesk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7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QBRs</w:t>
            </w:r>
          </w:p>
        </w:tc>
      </w:tr>
      <w:tr>
        <w:trPr>
          <w:cantSplit w:val="0"/>
          <w:trHeight w:val="325.97656250000057" w:hRule="atLeast"/>
          <w:tblHeader w:val="0"/>
        </w:trPr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Insightful reporting</w:t>
            </w:r>
          </w:p>
        </w:tc>
        <w:tc>
          <w:tcPr>
            <w:vMerge w:val="restart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9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Individual Risk Scores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9"/>
              </w:numPr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Users to watch</w:t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47363281250057" w:hRule="atLeast"/>
          <w:tblHeader w:val="0"/>
        </w:trPr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0" w:firstLine="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CSV and PDF Reports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94.5454545454545" w:lineRule="auto"/>
              <w:ind w:left="720" w:hanging="360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Knowledge Base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Usage based billing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Community support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Via their website, Slack, Discord, Reddit, etc.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color w:val="132b5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color w:val="132b5e"/>
                <w:rtl w:val="0"/>
              </w:rPr>
              <w:t xml:space="preserve">Automated training reminders</w:t>
            </w:r>
          </w:p>
        </w:tc>
        <w:tc>
          <w:tcPr>
            <w:tcBorders>
              <w:top w:color="132b5e" w:space="0" w:sz="8" w:val="single"/>
              <w:left w:color="132b5e" w:space="0" w:sz="8" w:val="single"/>
              <w:bottom w:color="132b5e" w:space="0" w:sz="8" w:val="single"/>
              <w:right w:color="132b5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132b5e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color w:val="132b5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32b5e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32b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2448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/>
      <w:pict>
        <v:shape id="WordPictureWatermark1" style="position:absolute;width:1229.67542503864pt;height:795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